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080C" w:rsidRPr="0002080C" w:rsidRDefault="0002080C" w:rsidP="0002080C">
      <w:pPr>
        <w:jc w:val="both"/>
        <w:rPr>
          <w:rFonts w:ascii="Arial" w:hAnsi="Arial" w:cs="Arial"/>
          <w:sz w:val="24"/>
          <w:szCs w:val="24"/>
        </w:rPr>
      </w:pPr>
    </w:p>
    <w:p w:rsidR="00A250D5" w:rsidRPr="00993474" w:rsidRDefault="00044A9F" w:rsidP="007222AA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02080C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02080C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290251">
        <w:rPr>
          <w:rFonts w:ascii="Arial" w:hAnsi="Arial" w:cs="Arial"/>
          <w:sz w:val="24"/>
          <w:szCs w:val="24"/>
          <w:shd w:val="clear" w:color="auto" w:fill="EFEFEF"/>
        </w:rPr>
        <w:t>09132</w:t>
      </w:r>
      <w:r w:rsidR="000C475C">
        <w:rPr>
          <w:rFonts w:ascii="Arial" w:hAnsi="Arial" w:cs="Arial"/>
          <w:sz w:val="24"/>
          <w:szCs w:val="24"/>
          <w:shd w:val="clear" w:color="auto" w:fill="EFEFEF"/>
        </w:rPr>
        <w:t>P – Seminário: Saberes Docentes em Redes de Conversação Midiáticas I</w:t>
      </w:r>
      <w:r w:rsidR="00290251">
        <w:rPr>
          <w:rFonts w:ascii="Arial" w:hAnsi="Arial" w:cs="Arial"/>
          <w:sz w:val="24"/>
          <w:szCs w:val="24"/>
          <w:shd w:val="clear" w:color="auto" w:fill="EFEFEF"/>
        </w:rPr>
        <w:t>I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93474" w:rsidRDefault="00044A9F" w:rsidP="007222A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21CC">
        <w:rPr>
          <w:rFonts w:ascii="Arial" w:hAnsi="Arial" w:cs="Arial"/>
          <w:sz w:val="24"/>
          <w:szCs w:val="24"/>
          <w:shd w:val="clear" w:color="auto" w:fill="FFFFFF"/>
        </w:rPr>
        <w:t>6</w:t>
      </w:r>
      <w:r w:rsidR="004C7930" w:rsidRPr="00993474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7222AA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93474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99347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AF443F" w:rsidRPr="00290251" w:rsidRDefault="00290251" w:rsidP="00290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0251">
        <w:rPr>
          <w:rFonts w:ascii="Arial" w:hAnsi="Arial" w:cs="Arial"/>
          <w:sz w:val="24"/>
          <w:szCs w:val="24"/>
        </w:rPr>
        <w:t>Estudo da formação docente em redes de conversação mediadas por tecnologias digitais. Abordagem das tecnologias digitais</w:t>
      </w:r>
      <w:r>
        <w:rPr>
          <w:rFonts w:ascii="Arial" w:hAnsi="Arial" w:cs="Arial"/>
          <w:sz w:val="24"/>
          <w:szCs w:val="24"/>
        </w:rPr>
        <w:t xml:space="preserve"> </w:t>
      </w:r>
      <w:r w:rsidRPr="00290251">
        <w:rPr>
          <w:rFonts w:ascii="Arial" w:hAnsi="Arial" w:cs="Arial"/>
          <w:sz w:val="24"/>
          <w:szCs w:val="24"/>
        </w:rPr>
        <w:t>como ferramenta pedagógica, modos de operar entendendo</w:t>
      </w:r>
      <w:r>
        <w:rPr>
          <w:rFonts w:ascii="Arial" w:hAnsi="Arial" w:cs="Arial"/>
          <w:sz w:val="24"/>
          <w:szCs w:val="24"/>
        </w:rPr>
        <w:t xml:space="preserve"> </w:t>
      </w:r>
      <w:r w:rsidRPr="00290251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Pr="00290251">
        <w:rPr>
          <w:rFonts w:ascii="Arial" w:hAnsi="Arial" w:cs="Arial"/>
          <w:sz w:val="24"/>
          <w:szCs w:val="24"/>
        </w:rPr>
        <w:t>como possibilidade de coordenar ações em momentos distintos de tempo. Discussão</w:t>
      </w:r>
      <w:r>
        <w:rPr>
          <w:rFonts w:ascii="Arial" w:hAnsi="Arial" w:cs="Arial"/>
          <w:sz w:val="24"/>
          <w:szCs w:val="24"/>
        </w:rPr>
        <w:t xml:space="preserve"> </w:t>
      </w:r>
      <w:r w:rsidRPr="00290251">
        <w:rPr>
          <w:rFonts w:ascii="Arial" w:hAnsi="Arial" w:cs="Arial"/>
          <w:sz w:val="24"/>
          <w:szCs w:val="24"/>
        </w:rPr>
        <w:t xml:space="preserve">de diferentes ferramentas tecnológicas como: fóruns, chats, Ambientes Virtuais de Aprendizagem </w:t>
      </w:r>
      <w:proofErr w:type="spellStart"/>
      <w:r w:rsidRPr="00290251">
        <w:rPr>
          <w:rFonts w:ascii="Arial" w:hAnsi="Arial" w:cs="Arial"/>
          <w:sz w:val="24"/>
          <w:szCs w:val="24"/>
        </w:rPr>
        <w:t>potencializadores</w:t>
      </w:r>
      <w:proofErr w:type="spellEnd"/>
      <w:r w:rsidRPr="00290251">
        <w:rPr>
          <w:rFonts w:ascii="Arial" w:hAnsi="Arial" w:cs="Arial"/>
          <w:sz w:val="24"/>
          <w:szCs w:val="24"/>
        </w:rPr>
        <w:t xml:space="preserve"> de redes de conversação.</w:t>
      </w:r>
      <w:r>
        <w:rPr>
          <w:rFonts w:ascii="Arial" w:hAnsi="Arial" w:cs="Arial"/>
          <w:sz w:val="24"/>
          <w:szCs w:val="24"/>
        </w:rPr>
        <w:t xml:space="preserve"> </w:t>
      </w:r>
      <w:r w:rsidRPr="00290251">
        <w:rPr>
          <w:rFonts w:ascii="Arial" w:hAnsi="Arial" w:cs="Arial"/>
          <w:sz w:val="24"/>
          <w:szCs w:val="24"/>
        </w:rPr>
        <w:t xml:space="preserve">Produção e mediação de saberes em rede. Principio </w:t>
      </w:r>
      <w:proofErr w:type="spellStart"/>
      <w:r w:rsidRPr="00290251">
        <w:rPr>
          <w:rFonts w:ascii="Arial" w:hAnsi="Arial" w:cs="Arial"/>
          <w:sz w:val="24"/>
          <w:szCs w:val="24"/>
        </w:rPr>
        <w:t>autoorganizativo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0251">
        <w:rPr>
          <w:rFonts w:ascii="Arial" w:hAnsi="Arial" w:cs="Arial"/>
          <w:sz w:val="24"/>
          <w:szCs w:val="24"/>
        </w:rPr>
        <w:t>de redes de conversação. Circularidade que reforça laços de</w:t>
      </w:r>
      <w:r>
        <w:rPr>
          <w:rFonts w:ascii="Arial" w:hAnsi="Arial" w:cs="Arial"/>
          <w:sz w:val="24"/>
          <w:szCs w:val="24"/>
        </w:rPr>
        <w:t xml:space="preserve"> </w:t>
      </w:r>
      <w:r w:rsidRPr="00290251">
        <w:rPr>
          <w:rFonts w:ascii="Arial" w:hAnsi="Arial" w:cs="Arial"/>
          <w:sz w:val="24"/>
          <w:szCs w:val="24"/>
        </w:rPr>
        <w:t>retroalimentação. O Ciberespaço como espaço de construção de saberes docentes. Cultura docente em ação. Produção e mediação de saberes em</w:t>
      </w:r>
      <w:r>
        <w:rPr>
          <w:rFonts w:ascii="Arial" w:hAnsi="Arial" w:cs="Arial"/>
          <w:sz w:val="24"/>
          <w:szCs w:val="24"/>
        </w:rPr>
        <w:t xml:space="preserve"> </w:t>
      </w:r>
      <w:r w:rsidRPr="00290251">
        <w:rPr>
          <w:rFonts w:ascii="Arial" w:hAnsi="Arial" w:cs="Arial"/>
          <w:sz w:val="24"/>
          <w:szCs w:val="24"/>
        </w:rPr>
        <w:t>rede de conversação virtual. Formação docente em redes de conversação: circularidade, corporeidade, experiência e cognição.</w:t>
      </w:r>
    </w:p>
    <w:p w:rsidR="00290251" w:rsidRDefault="00290251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F443F" w:rsidRPr="00993474" w:rsidRDefault="00AF443F" w:rsidP="007222A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Default="00044A9F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93474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993474">
        <w:rPr>
          <w:rFonts w:ascii="Arial" w:hAnsi="Arial" w:cs="Arial"/>
          <w:color w:val="000000"/>
          <w:sz w:val="24"/>
          <w:szCs w:val="24"/>
        </w:rPr>
        <w:t>:</w:t>
      </w:r>
    </w:p>
    <w:p w:rsidR="00290251" w:rsidRDefault="00290251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Lévy</w:t>
      </w:r>
      <w:proofErr w:type="spellEnd"/>
      <w:r>
        <w:rPr>
          <w:rFonts w:ascii="Arial" w:hAnsi="Arial" w:cs="Arial"/>
          <w:sz w:val="24"/>
          <w:szCs w:val="24"/>
        </w:rPr>
        <w:t xml:space="preserve">, Pierre. </w:t>
      </w:r>
      <w:r w:rsidRPr="00290251">
        <w:rPr>
          <w:rFonts w:ascii="Arial" w:hAnsi="Arial" w:cs="Arial"/>
          <w:sz w:val="24"/>
          <w:szCs w:val="24"/>
        </w:rPr>
        <w:t xml:space="preserve">A conexão planetária: o mercado, o </w:t>
      </w:r>
      <w:proofErr w:type="spellStart"/>
      <w:r w:rsidRPr="00290251">
        <w:rPr>
          <w:rFonts w:ascii="Arial" w:hAnsi="Arial" w:cs="Arial"/>
          <w:sz w:val="24"/>
          <w:szCs w:val="24"/>
        </w:rPr>
        <w:t>ciberespa</w:t>
      </w:r>
      <w:r>
        <w:rPr>
          <w:rFonts w:ascii="Arial" w:hAnsi="Arial" w:cs="Arial"/>
          <w:sz w:val="24"/>
          <w:szCs w:val="24"/>
        </w:rPr>
        <w:t>co</w:t>
      </w:r>
      <w:proofErr w:type="spellEnd"/>
      <w:r>
        <w:rPr>
          <w:rFonts w:ascii="Arial" w:hAnsi="Arial" w:cs="Arial"/>
          <w:sz w:val="24"/>
          <w:szCs w:val="24"/>
        </w:rPr>
        <w:t xml:space="preserve">, a consciência / Pierre </w:t>
      </w:r>
      <w:proofErr w:type="spellStart"/>
      <w:r>
        <w:rPr>
          <w:rFonts w:ascii="Arial" w:hAnsi="Arial" w:cs="Arial"/>
          <w:sz w:val="24"/>
          <w:szCs w:val="24"/>
        </w:rPr>
        <w:t>Lévy</w:t>
      </w:r>
      <w:proofErr w:type="spellEnd"/>
      <w:r w:rsidRPr="00290251">
        <w:rPr>
          <w:rFonts w:ascii="Arial" w:hAnsi="Arial" w:cs="Arial"/>
          <w:sz w:val="24"/>
          <w:szCs w:val="24"/>
        </w:rPr>
        <w:t xml:space="preserve">; tradução de Maria Lucia Homem e Ronaldo </w:t>
      </w:r>
      <w:proofErr w:type="spellStart"/>
      <w:r w:rsidRPr="00290251">
        <w:rPr>
          <w:rFonts w:ascii="Arial" w:hAnsi="Arial" w:cs="Arial"/>
          <w:sz w:val="24"/>
          <w:szCs w:val="24"/>
        </w:rPr>
        <w:t>Entler</w:t>
      </w:r>
      <w:proofErr w:type="spellEnd"/>
      <w:r w:rsidRPr="00290251">
        <w:rPr>
          <w:rFonts w:ascii="Arial" w:hAnsi="Arial" w:cs="Arial"/>
          <w:sz w:val="24"/>
          <w:szCs w:val="24"/>
        </w:rPr>
        <w:t>. - São Paulo</w:t>
      </w:r>
      <w:r>
        <w:rPr>
          <w:rFonts w:ascii="Arial" w:hAnsi="Arial" w:cs="Arial"/>
          <w:sz w:val="24"/>
          <w:szCs w:val="24"/>
        </w:rPr>
        <w:t xml:space="preserve">: Ed. 34, 2001. </w:t>
      </w:r>
    </w:p>
    <w:p w:rsidR="00290251" w:rsidRPr="00290251" w:rsidRDefault="00290251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Tardif</w:t>
      </w:r>
      <w:proofErr w:type="spellEnd"/>
      <w:r>
        <w:rPr>
          <w:rFonts w:ascii="Arial" w:hAnsi="Arial" w:cs="Arial"/>
          <w:sz w:val="24"/>
          <w:szCs w:val="24"/>
        </w:rPr>
        <w:t xml:space="preserve">, Maurice. </w:t>
      </w:r>
      <w:r w:rsidRPr="00290251">
        <w:rPr>
          <w:rFonts w:ascii="Arial" w:hAnsi="Arial" w:cs="Arial"/>
          <w:sz w:val="24"/>
          <w:szCs w:val="24"/>
        </w:rPr>
        <w:t xml:space="preserve">Saberes docentes e formação profissional / Maurice </w:t>
      </w:r>
      <w:proofErr w:type="spellStart"/>
      <w:r w:rsidRPr="00290251">
        <w:rPr>
          <w:rFonts w:ascii="Arial" w:hAnsi="Arial" w:cs="Arial"/>
          <w:sz w:val="24"/>
          <w:szCs w:val="24"/>
        </w:rPr>
        <w:t>Tardif</w:t>
      </w:r>
      <w:proofErr w:type="spellEnd"/>
      <w:r w:rsidRPr="00290251">
        <w:rPr>
          <w:rFonts w:ascii="Arial" w:hAnsi="Arial" w:cs="Arial"/>
          <w:sz w:val="24"/>
          <w:szCs w:val="24"/>
        </w:rPr>
        <w:t xml:space="preserve">. - </w:t>
      </w:r>
      <w:proofErr w:type="spellStart"/>
      <w:r w:rsidRPr="00290251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tropolis</w:t>
      </w:r>
      <w:proofErr w:type="spellEnd"/>
      <w:r>
        <w:rPr>
          <w:rFonts w:ascii="Arial" w:hAnsi="Arial" w:cs="Arial"/>
          <w:sz w:val="24"/>
          <w:szCs w:val="24"/>
        </w:rPr>
        <w:t xml:space="preserve">: Vozes, 2006. </w:t>
      </w:r>
    </w:p>
    <w:p w:rsidR="00290251" w:rsidRDefault="00290251" w:rsidP="007222A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90251">
        <w:rPr>
          <w:rFonts w:ascii="Arial" w:hAnsi="Arial" w:cs="Arial"/>
          <w:sz w:val="24"/>
          <w:szCs w:val="24"/>
        </w:rPr>
        <w:t>Tardif</w:t>
      </w:r>
      <w:proofErr w:type="spellEnd"/>
      <w:r w:rsidRPr="00290251">
        <w:rPr>
          <w:rFonts w:ascii="Arial" w:hAnsi="Arial" w:cs="Arial"/>
          <w:sz w:val="24"/>
          <w:szCs w:val="24"/>
        </w:rPr>
        <w:t xml:space="preserve">, Maurice, 1953-. Saberes docentes e formação profissional. / Maurice </w:t>
      </w:r>
      <w:proofErr w:type="spellStart"/>
      <w:proofErr w:type="gramStart"/>
      <w:r w:rsidRPr="00290251">
        <w:rPr>
          <w:rFonts w:ascii="Arial" w:hAnsi="Arial" w:cs="Arial"/>
          <w:sz w:val="24"/>
          <w:szCs w:val="24"/>
        </w:rPr>
        <w:t>Tardif</w:t>
      </w:r>
      <w:proofErr w:type="spellEnd"/>
      <w:r w:rsidRPr="0029025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290251">
        <w:rPr>
          <w:rFonts w:ascii="Arial" w:hAnsi="Arial" w:cs="Arial"/>
          <w:sz w:val="24"/>
          <w:szCs w:val="24"/>
        </w:rPr>
        <w:t xml:space="preserve"> tradução Francisco Pereira. - Petrópolis, </w:t>
      </w:r>
      <w:proofErr w:type="gramStart"/>
      <w:r w:rsidRPr="00290251">
        <w:rPr>
          <w:rFonts w:ascii="Arial" w:hAnsi="Arial" w:cs="Arial"/>
          <w:sz w:val="24"/>
          <w:szCs w:val="24"/>
        </w:rPr>
        <w:t>RJ :</w:t>
      </w:r>
      <w:proofErr w:type="gramEnd"/>
      <w:r w:rsidRPr="00290251">
        <w:rPr>
          <w:rFonts w:ascii="Arial" w:hAnsi="Arial" w:cs="Arial"/>
          <w:sz w:val="24"/>
          <w:szCs w:val="24"/>
        </w:rPr>
        <w:t xml:space="preserve"> Vozes, 2011. </w:t>
      </w:r>
    </w:p>
    <w:p w:rsidR="000C475C" w:rsidRPr="000C475C" w:rsidRDefault="000C475C" w:rsidP="007222AA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0C475C" w:rsidRPr="000C475C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2080C"/>
    <w:rsid w:val="00044A9F"/>
    <w:rsid w:val="000C475C"/>
    <w:rsid w:val="000D626B"/>
    <w:rsid w:val="001A7E6D"/>
    <w:rsid w:val="001D2293"/>
    <w:rsid w:val="0022106B"/>
    <w:rsid w:val="00250E63"/>
    <w:rsid w:val="002829AF"/>
    <w:rsid w:val="00290251"/>
    <w:rsid w:val="00295BE7"/>
    <w:rsid w:val="002D7429"/>
    <w:rsid w:val="003C54F5"/>
    <w:rsid w:val="004C7930"/>
    <w:rsid w:val="004E7D5C"/>
    <w:rsid w:val="00584DD9"/>
    <w:rsid w:val="00636203"/>
    <w:rsid w:val="00667323"/>
    <w:rsid w:val="006A4A77"/>
    <w:rsid w:val="007222AA"/>
    <w:rsid w:val="007A1886"/>
    <w:rsid w:val="0082300C"/>
    <w:rsid w:val="00876BBE"/>
    <w:rsid w:val="00950707"/>
    <w:rsid w:val="009579DB"/>
    <w:rsid w:val="009650D7"/>
    <w:rsid w:val="00993474"/>
    <w:rsid w:val="00993DA0"/>
    <w:rsid w:val="0099767C"/>
    <w:rsid w:val="009F3FE2"/>
    <w:rsid w:val="00A250D5"/>
    <w:rsid w:val="00A44EBA"/>
    <w:rsid w:val="00A601DA"/>
    <w:rsid w:val="00A906CA"/>
    <w:rsid w:val="00AB19B4"/>
    <w:rsid w:val="00AE66E8"/>
    <w:rsid w:val="00AF443F"/>
    <w:rsid w:val="00B46BEA"/>
    <w:rsid w:val="00B96536"/>
    <w:rsid w:val="00BD6B85"/>
    <w:rsid w:val="00CC21CC"/>
    <w:rsid w:val="00DB08DF"/>
    <w:rsid w:val="00DC15C8"/>
    <w:rsid w:val="00E11583"/>
    <w:rsid w:val="00E26217"/>
    <w:rsid w:val="00E76AD7"/>
    <w:rsid w:val="00EC6DBB"/>
    <w:rsid w:val="00EE4D4D"/>
    <w:rsid w:val="00F4483B"/>
    <w:rsid w:val="00F87434"/>
    <w:rsid w:val="00FA05EE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2017-04-10T19:05:00Z</dcterms:created>
  <dcterms:modified xsi:type="dcterms:W3CDTF">2017-04-10T19:14:00Z</dcterms:modified>
</cp:coreProperties>
</file>